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81" w:rsidRDefault="00A24681" w:rsidP="00FA626B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BE0F1C" w:rsidRPr="0063072E" w:rsidRDefault="00BE0F1C" w:rsidP="00BE0F1C">
      <w:pPr>
        <w:jc w:val="right"/>
        <w:rPr>
          <w:rStyle w:val="a5"/>
          <w:b w:val="0"/>
          <w:sz w:val="28"/>
          <w:szCs w:val="28"/>
        </w:rPr>
      </w:pPr>
      <w:r w:rsidRPr="0063072E">
        <w:rPr>
          <w:rStyle w:val="a5"/>
          <w:b w:val="0"/>
          <w:sz w:val="28"/>
          <w:szCs w:val="28"/>
        </w:rPr>
        <w:t>Утверждена</w:t>
      </w:r>
      <w:r w:rsidRPr="0063072E">
        <w:rPr>
          <w:rStyle w:val="a5"/>
          <w:b w:val="0"/>
          <w:sz w:val="28"/>
          <w:szCs w:val="28"/>
        </w:rPr>
        <w:br/>
      </w:r>
      <w:hyperlink w:anchor="sub_0" w:history="1">
        <w:r w:rsidRPr="0063072E">
          <w:rPr>
            <w:rStyle w:val="a6"/>
            <w:rFonts w:eastAsiaTheme="minorEastAsia"/>
            <w:color w:val="auto"/>
            <w:sz w:val="28"/>
            <w:szCs w:val="28"/>
          </w:rPr>
          <w:t>приказом</w:t>
        </w:r>
      </w:hyperlink>
      <w:r w:rsidRPr="0063072E">
        <w:rPr>
          <w:rStyle w:val="a5"/>
          <w:b w:val="0"/>
          <w:sz w:val="28"/>
          <w:szCs w:val="28"/>
        </w:rPr>
        <w:t xml:space="preserve"> Министерства</w:t>
      </w:r>
    </w:p>
    <w:p w:rsidR="00BE0F1C" w:rsidRPr="0063072E" w:rsidRDefault="00BE0F1C" w:rsidP="00BE0F1C">
      <w:pPr>
        <w:jc w:val="right"/>
        <w:rPr>
          <w:rStyle w:val="a5"/>
          <w:b w:val="0"/>
          <w:sz w:val="28"/>
          <w:szCs w:val="28"/>
        </w:rPr>
      </w:pPr>
      <w:r w:rsidRPr="0063072E">
        <w:rPr>
          <w:rStyle w:val="a5"/>
          <w:b w:val="0"/>
          <w:sz w:val="28"/>
          <w:szCs w:val="28"/>
        </w:rPr>
        <w:t xml:space="preserve"> природных ресурсов и экологии </w:t>
      </w:r>
    </w:p>
    <w:p w:rsidR="00BE0F1C" w:rsidRPr="0063072E" w:rsidRDefault="00DA5F2A" w:rsidP="00BE0F1C">
      <w:pPr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Республики Ингушетия</w:t>
      </w:r>
      <w:r>
        <w:rPr>
          <w:rStyle w:val="a5"/>
          <w:b w:val="0"/>
          <w:sz w:val="28"/>
          <w:szCs w:val="28"/>
        </w:rPr>
        <w:br/>
        <w:t>от «18» 11  2024 г. № 301-од</w:t>
      </w:r>
    </w:p>
    <w:p w:rsidR="00BE0F1C" w:rsidRPr="00736195" w:rsidRDefault="00BE0F1C" w:rsidP="00BE0F1C">
      <w:pPr>
        <w:rPr>
          <w:sz w:val="28"/>
          <w:szCs w:val="28"/>
        </w:rPr>
      </w:pPr>
    </w:p>
    <w:p w:rsidR="00BE0F1C" w:rsidRDefault="00BE0F1C" w:rsidP="00BE0F1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BE0F1C" w:rsidRPr="00736195" w:rsidRDefault="00BE0F1C" w:rsidP="00BE0F1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736195">
        <w:rPr>
          <w:rFonts w:ascii="Times New Roman" w:hAnsi="Times New Roman" w:cs="Times New Roman"/>
          <w:color w:val="auto"/>
          <w:sz w:val="28"/>
          <w:szCs w:val="28"/>
        </w:rPr>
        <w:t>Программа</w:t>
      </w:r>
      <w:r w:rsidRPr="00736195">
        <w:rPr>
          <w:rFonts w:ascii="Times New Roman" w:hAnsi="Times New Roman" w:cs="Times New Roman"/>
          <w:color w:val="auto"/>
          <w:sz w:val="28"/>
          <w:szCs w:val="28"/>
        </w:rPr>
        <w:br/>
        <w:t>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</w:t>
      </w:r>
      <w:r w:rsidR="00201CC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36195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BE0F1C" w:rsidRPr="00736195" w:rsidRDefault="00BE0F1C" w:rsidP="00BE0F1C">
      <w:pPr>
        <w:rPr>
          <w:sz w:val="28"/>
          <w:szCs w:val="28"/>
        </w:rPr>
      </w:pPr>
    </w:p>
    <w:p w:rsidR="00874DE7" w:rsidRPr="00736195" w:rsidRDefault="00874DE7" w:rsidP="00874DE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5"/>
      <w:r w:rsidRPr="00736195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1"/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</w:t>
      </w:r>
      <w:r>
        <w:rPr>
          <w:sz w:val="28"/>
          <w:szCs w:val="28"/>
        </w:rPr>
        <w:t>ного мира и среды их обитания в</w:t>
      </w:r>
      <w:r w:rsidRPr="00736195">
        <w:rPr>
          <w:sz w:val="28"/>
          <w:szCs w:val="28"/>
        </w:rPr>
        <w:t xml:space="preserve"> 202</w:t>
      </w:r>
      <w:r w:rsidR="00DA5F2A">
        <w:rPr>
          <w:sz w:val="28"/>
          <w:szCs w:val="28"/>
        </w:rPr>
        <w:t>5</w:t>
      </w:r>
      <w:r w:rsidRPr="00736195">
        <w:rPr>
          <w:sz w:val="28"/>
          <w:szCs w:val="28"/>
        </w:rPr>
        <w:t xml:space="preserve"> год (далее - Программа) разработана в соответствии с </w:t>
      </w:r>
      <w:hyperlink r:id="rId5" w:history="1">
        <w:r w:rsidRPr="00736195">
          <w:rPr>
            <w:rStyle w:val="a6"/>
            <w:rFonts w:eastAsiaTheme="minorEastAsia"/>
            <w:color w:val="auto"/>
            <w:sz w:val="28"/>
            <w:szCs w:val="28"/>
          </w:rPr>
          <w:t>Правилами</w:t>
        </w:r>
      </w:hyperlink>
      <w:r w:rsidRPr="00736195">
        <w:rPr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</w:t>
      </w:r>
      <w:hyperlink r:id="rId6" w:history="1">
        <w:r w:rsidRPr="00736195">
          <w:rPr>
            <w:rStyle w:val="a6"/>
            <w:rFonts w:eastAsiaTheme="minorEastAsia"/>
            <w:color w:val="auto"/>
            <w:sz w:val="28"/>
            <w:szCs w:val="28"/>
          </w:rPr>
          <w:t>постановлением</w:t>
        </w:r>
      </w:hyperlink>
      <w:r w:rsidRPr="00736195">
        <w:rPr>
          <w:sz w:val="28"/>
          <w:szCs w:val="28"/>
        </w:rPr>
        <w:t xml:space="preserve"> Правительства Российской Федерации от 25</w:t>
      </w:r>
      <w:r>
        <w:rPr>
          <w:sz w:val="28"/>
          <w:szCs w:val="28"/>
        </w:rPr>
        <w:t>.07.2021 г. №</w:t>
      </w:r>
      <w:r w:rsidRPr="00736195">
        <w:rPr>
          <w:sz w:val="28"/>
          <w:szCs w:val="28"/>
        </w:rPr>
        <w:t> 990</w:t>
      </w:r>
      <w:r>
        <w:rPr>
          <w:sz w:val="28"/>
          <w:szCs w:val="28"/>
        </w:rPr>
        <w:t xml:space="preserve"> «</w:t>
      </w:r>
      <w:r w:rsidRPr="00736195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>»</w:t>
      </w:r>
      <w:r w:rsidRPr="00736195">
        <w:rPr>
          <w:sz w:val="28"/>
          <w:szCs w:val="28"/>
        </w:rPr>
        <w:t>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Программа разработана в целях реализации положений:</w:t>
      </w:r>
    </w:p>
    <w:p w:rsidR="00874DE7" w:rsidRPr="00736195" w:rsidRDefault="009A3E63" w:rsidP="00874DE7">
      <w:pPr>
        <w:ind w:firstLine="426"/>
        <w:jc w:val="both"/>
        <w:rPr>
          <w:sz w:val="28"/>
          <w:szCs w:val="28"/>
        </w:rPr>
      </w:pPr>
      <w:hyperlink r:id="rId7" w:history="1">
        <w:r w:rsidR="00874DE7" w:rsidRPr="00736195">
          <w:rPr>
            <w:rStyle w:val="a6"/>
            <w:rFonts w:eastAsiaTheme="minorEastAsia"/>
            <w:color w:val="auto"/>
            <w:sz w:val="28"/>
            <w:szCs w:val="28"/>
          </w:rPr>
          <w:t>Федерального закона</w:t>
        </w:r>
      </w:hyperlink>
      <w:r w:rsidR="00874DE7" w:rsidRPr="00736195">
        <w:rPr>
          <w:sz w:val="28"/>
          <w:szCs w:val="28"/>
        </w:rPr>
        <w:t xml:space="preserve"> от 31</w:t>
      </w:r>
      <w:r w:rsidR="00874DE7">
        <w:rPr>
          <w:sz w:val="28"/>
          <w:szCs w:val="28"/>
        </w:rPr>
        <w:t>.07.2020 г.</w:t>
      </w:r>
      <w:r w:rsidR="00874DE7" w:rsidRPr="00736195">
        <w:rPr>
          <w:sz w:val="28"/>
          <w:szCs w:val="28"/>
        </w:rPr>
        <w:t xml:space="preserve"> </w:t>
      </w:r>
      <w:r w:rsidR="00874DE7">
        <w:rPr>
          <w:sz w:val="28"/>
          <w:szCs w:val="28"/>
        </w:rPr>
        <w:t>№</w:t>
      </w:r>
      <w:r w:rsidR="00874DE7" w:rsidRPr="00736195">
        <w:rPr>
          <w:sz w:val="28"/>
          <w:szCs w:val="28"/>
        </w:rPr>
        <w:t xml:space="preserve"> 248-ФЗ </w:t>
      </w:r>
      <w:r w:rsidR="00874DE7">
        <w:rPr>
          <w:sz w:val="28"/>
          <w:szCs w:val="28"/>
        </w:rPr>
        <w:t>«</w:t>
      </w:r>
      <w:r w:rsidR="00874DE7" w:rsidRPr="00736195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874DE7">
        <w:rPr>
          <w:sz w:val="28"/>
          <w:szCs w:val="28"/>
        </w:rPr>
        <w:t>»</w:t>
      </w:r>
      <w:r w:rsidR="00874DE7" w:rsidRPr="00736195">
        <w:rPr>
          <w:sz w:val="28"/>
          <w:szCs w:val="28"/>
        </w:rPr>
        <w:t xml:space="preserve"> (далее - Федеральный закон </w:t>
      </w:r>
      <w:r w:rsidR="00874DE7">
        <w:rPr>
          <w:sz w:val="28"/>
          <w:szCs w:val="28"/>
        </w:rPr>
        <w:t>№</w:t>
      </w:r>
      <w:r w:rsidR="00874DE7" w:rsidRPr="00736195">
        <w:rPr>
          <w:sz w:val="28"/>
          <w:szCs w:val="28"/>
        </w:rPr>
        <w:t> 248-ФЗ);</w:t>
      </w:r>
    </w:p>
    <w:p w:rsidR="00874DE7" w:rsidRPr="00736195" w:rsidRDefault="009A3E63" w:rsidP="00874DE7">
      <w:pPr>
        <w:ind w:firstLine="426"/>
        <w:jc w:val="both"/>
        <w:rPr>
          <w:sz w:val="28"/>
          <w:szCs w:val="28"/>
        </w:rPr>
      </w:pPr>
      <w:hyperlink r:id="rId8" w:history="1">
        <w:r w:rsidR="00874DE7" w:rsidRPr="00736195">
          <w:rPr>
            <w:rStyle w:val="a6"/>
            <w:rFonts w:eastAsiaTheme="minorEastAsia"/>
            <w:color w:val="auto"/>
            <w:sz w:val="28"/>
            <w:szCs w:val="28"/>
          </w:rPr>
          <w:t>Постановления</w:t>
        </w:r>
      </w:hyperlink>
      <w:r w:rsidR="00874DE7" w:rsidRPr="00736195">
        <w:rPr>
          <w:sz w:val="28"/>
          <w:szCs w:val="28"/>
        </w:rPr>
        <w:t xml:space="preserve"> Правительства Российской Федерации от 30.06.2021</w:t>
      </w:r>
      <w:r w:rsidR="00874DE7">
        <w:rPr>
          <w:sz w:val="28"/>
          <w:szCs w:val="28"/>
        </w:rPr>
        <w:t xml:space="preserve"> г.</w:t>
      </w:r>
      <w:r w:rsidR="00874DE7" w:rsidRPr="00736195">
        <w:rPr>
          <w:sz w:val="28"/>
          <w:szCs w:val="28"/>
        </w:rPr>
        <w:t xml:space="preserve"> </w:t>
      </w:r>
      <w:r w:rsidR="00874DE7">
        <w:rPr>
          <w:sz w:val="28"/>
          <w:szCs w:val="28"/>
        </w:rPr>
        <w:t>№</w:t>
      </w:r>
      <w:r w:rsidR="00874DE7" w:rsidRPr="00736195">
        <w:rPr>
          <w:sz w:val="28"/>
          <w:szCs w:val="28"/>
        </w:rPr>
        <w:t xml:space="preserve"> 1094 </w:t>
      </w:r>
      <w:r w:rsidR="00874DE7">
        <w:rPr>
          <w:sz w:val="28"/>
          <w:szCs w:val="28"/>
        </w:rPr>
        <w:t>«</w:t>
      </w:r>
      <w:r w:rsidR="00874DE7" w:rsidRPr="00736195">
        <w:rPr>
          <w:sz w:val="28"/>
          <w:szCs w:val="28"/>
        </w:rPr>
        <w:t>О федеральном государственном охотничьем контроле (надзоре)</w:t>
      </w:r>
      <w:r w:rsidR="00874DE7">
        <w:rPr>
          <w:sz w:val="28"/>
          <w:szCs w:val="28"/>
        </w:rPr>
        <w:t>»</w:t>
      </w:r>
      <w:r w:rsidR="00874DE7" w:rsidRPr="00736195">
        <w:rPr>
          <w:sz w:val="28"/>
          <w:szCs w:val="28"/>
        </w:rPr>
        <w:t xml:space="preserve"> которым утверждено Положение о федеральном государственном охотничьем контроле (надзоре) (далее - Положение).</w:t>
      </w:r>
    </w:p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6"/>
      <w:r w:rsidRPr="00736195">
        <w:rPr>
          <w:rFonts w:ascii="Times New Roman" w:hAnsi="Times New Roman" w:cs="Times New Roman"/>
          <w:color w:val="auto"/>
          <w:sz w:val="28"/>
          <w:szCs w:val="28"/>
        </w:rPr>
        <w:t>2. Аналитическая часть программы</w:t>
      </w:r>
    </w:p>
    <w:bookmarkEnd w:id="2"/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7"/>
      <w:r w:rsidRPr="00736195">
        <w:rPr>
          <w:rFonts w:ascii="Times New Roman" w:hAnsi="Times New Roman" w:cs="Times New Roman"/>
          <w:color w:val="auto"/>
          <w:sz w:val="28"/>
          <w:szCs w:val="28"/>
        </w:rPr>
        <w:t>2.1. Анализ текущего состояния осуществления вида контроля</w:t>
      </w:r>
    </w:p>
    <w:bookmarkEnd w:id="3"/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Вид осуществляемого государственного контроля (надзора):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lastRenderedPageBreak/>
        <w:t>Федеральный государственный контроль (надзор) в области охраны, воспроизводства и использования объектов животного мира и среды их обитания (далее - государственный надзор).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Предмет осуществляемого государственного надзора: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Соблюдение юридическими лицами, индивидуальными предпринимателями и гражданами требований, установленных </w:t>
      </w:r>
      <w:r>
        <w:rPr>
          <w:sz w:val="28"/>
          <w:szCs w:val="28"/>
        </w:rPr>
        <w:t>ф</w:t>
      </w:r>
      <w:r w:rsidRPr="00736195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73619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736195">
        <w:rPr>
          <w:sz w:val="28"/>
          <w:szCs w:val="28"/>
        </w:rPr>
        <w:t>,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 (далее - обязательные требования).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Государственный надзор направлен на предупреждение, выявление и пресечение нарушений обязательных требований посредством профилактики нарушений обязательных требований, оценки соблюдения гражданами и организациями (контролируемыми лицами)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Объектами государственного надзора являются деятельность контролируемых лиц в области охраны, воспроизводства и использования объектов животного мира и среды их обитания, а также охотничье угодье или иная территория, являющаяся средой обитания охотничьих ресурсов (далее - объект контроля).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Государственный надзор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Объект контроля может быть отнесен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а) чрезвычайно высокий риск;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б) значительный риск;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в) умеренный риск;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г) низкий риск.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Отнесение объектов контроля к определенной категории риска осуществляется приказом </w:t>
      </w:r>
      <w:r>
        <w:rPr>
          <w:sz w:val="28"/>
          <w:szCs w:val="28"/>
        </w:rPr>
        <w:t>министра природных ресурсов и экологии Республики Ингушетия</w:t>
      </w:r>
      <w:r w:rsidRPr="00736195">
        <w:rPr>
          <w:sz w:val="28"/>
          <w:szCs w:val="28"/>
        </w:rPr>
        <w:t xml:space="preserve"> на основании сопоставления их характеристик с критериями отнесения объектов контроля к категориям риска.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В зависимости от присвоенной категории риска периодичность проведения одного из плановых контрольных (надзорных) мероприятий составляет: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lastRenderedPageBreak/>
        <w:t>- для объектов категории чрезвычайно высокого риска - не менее 1, но не более 2 контрольных (надзорных) мероприятий в год;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для объектов категории значительного риска - не менее 1 контрольного (надзорного) мероприятия в 4 года и не более 1 мероприятия в 2 года;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для объектов категории умеренного риска - не менее 1 контрольного (надзорного) мероприятия в 6 лет и не более 1 мероприятия в 3 года;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для категории низкого риска - не проводятся.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При этом предусмотрены основания как для повышения категории риска объекта контроля, так и снижения категории риска объекта контроля для тех контролируемых лиц, которые добросовестно соблюдает требования действующего законодательства.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Государственный надзор осуществляется: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В рамках государственного надзора проводятся следующие мероприятия: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а) систематическое наблюдение за исполнением требований в области охраны, воспроизводства и использования объектов животного мира и среды их обитания, юридическими лицами и индивидуальными предпринимателями;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б) анализ и прогнозирование состояния исполнения требований в области охраны, воспроизводства и использования объектов животного мира и среды их обитания при осуществлении деятельности юридическими лицами и индивидуальными предпринимателями.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в) проверки соблюдения гражданами, требований в области охраны, воспроизводства и использования объектов животного мира и среды их обитания.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При осуществлении государственного надзора в 202</w:t>
      </w:r>
      <w:r w:rsidR="00DA5F2A">
        <w:rPr>
          <w:sz w:val="28"/>
          <w:szCs w:val="28"/>
        </w:rPr>
        <w:t>4</w:t>
      </w:r>
      <w:r w:rsidRPr="00736195">
        <w:rPr>
          <w:sz w:val="28"/>
          <w:szCs w:val="28"/>
        </w:rPr>
        <w:t xml:space="preserve"> плановые контрольные (надзорные) </w:t>
      </w:r>
      <w:r>
        <w:rPr>
          <w:sz w:val="28"/>
          <w:szCs w:val="28"/>
        </w:rPr>
        <w:t xml:space="preserve">мероприятия </w:t>
      </w:r>
      <w:r w:rsidRPr="00736195">
        <w:rPr>
          <w:sz w:val="28"/>
          <w:szCs w:val="28"/>
        </w:rPr>
        <w:t>не проводились.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Сведения о нормативном правовом акте, устанавливающем порядок организации и осуществления государственного надзора - </w:t>
      </w:r>
      <w:hyperlink r:id="rId9" w:history="1">
        <w:r w:rsidRPr="00736195">
          <w:rPr>
            <w:rStyle w:val="a6"/>
            <w:rFonts w:eastAsiaTheme="minorEastAsia"/>
            <w:color w:val="auto"/>
            <w:sz w:val="28"/>
            <w:szCs w:val="28"/>
          </w:rPr>
          <w:t>постановление</w:t>
        </w:r>
      </w:hyperlink>
      <w:r w:rsidRPr="00736195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736195">
        <w:rPr>
          <w:sz w:val="28"/>
          <w:szCs w:val="28"/>
        </w:rPr>
        <w:t xml:space="preserve"> от 30.06.2021 </w:t>
      </w:r>
      <w:r>
        <w:rPr>
          <w:sz w:val="28"/>
          <w:szCs w:val="28"/>
        </w:rPr>
        <w:t>№</w:t>
      </w:r>
      <w:r w:rsidRPr="00736195">
        <w:rPr>
          <w:sz w:val="28"/>
          <w:szCs w:val="28"/>
        </w:rPr>
        <w:t xml:space="preserve"> 1094 </w:t>
      </w:r>
      <w:r>
        <w:rPr>
          <w:sz w:val="28"/>
          <w:szCs w:val="28"/>
        </w:rPr>
        <w:t>«</w:t>
      </w:r>
      <w:r w:rsidRPr="00736195">
        <w:rPr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>
        <w:rPr>
          <w:sz w:val="28"/>
          <w:szCs w:val="28"/>
        </w:rPr>
        <w:t>»</w:t>
      </w:r>
      <w:r w:rsidRPr="00736195">
        <w:rPr>
          <w:sz w:val="28"/>
          <w:szCs w:val="28"/>
        </w:rPr>
        <w:t>.</w:t>
      </w:r>
    </w:p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8"/>
      <w:r w:rsidRPr="00736195">
        <w:rPr>
          <w:rFonts w:ascii="Times New Roman" w:hAnsi="Times New Roman" w:cs="Times New Roman"/>
          <w:color w:val="auto"/>
          <w:sz w:val="28"/>
          <w:szCs w:val="28"/>
        </w:rPr>
        <w:t>2.2. Перечень уполномоченных лиц, ответственных за организацию и проведение профилактических мероприятий</w:t>
      </w:r>
    </w:p>
    <w:bookmarkEnd w:id="4"/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Перечень уполномоченных лиц </w:t>
      </w:r>
      <w:r>
        <w:rPr>
          <w:sz w:val="28"/>
          <w:szCs w:val="28"/>
        </w:rPr>
        <w:t>Министерства природных ресурсов и экологии Республики Ингушетия</w:t>
      </w:r>
      <w:r w:rsidRPr="00736195">
        <w:rPr>
          <w:sz w:val="28"/>
          <w:szCs w:val="28"/>
        </w:rPr>
        <w:t>, ответственных за организацию и проведение профилактических мероприятий: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736195">
        <w:rPr>
          <w:sz w:val="28"/>
          <w:szCs w:val="28"/>
        </w:rPr>
        <w:t xml:space="preserve"> - руководитель (координатор) программы;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министра, контролирующий и координирующий деятельность </w:t>
      </w:r>
      <w:r w:rsidRPr="00736195">
        <w:rPr>
          <w:sz w:val="28"/>
          <w:szCs w:val="28"/>
        </w:rPr>
        <w:t>в области охраны, воспроизводства и использования объектов животного мира и среды их обитания;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начальник отдела государственного надзора </w:t>
      </w:r>
      <w:r>
        <w:rPr>
          <w:sz w:val="28"/>
          <w:szCs w:val="28"/>
        </w:rPr>
        <w:t>за</w:t>
      </w:r>
      <w:r w:rsidRPr="00736195">
        <w:rPr>
          <w:sz w:val="28"/>
          <w:szCs w:val="28"/>
        </w:rPr>
        <w:t xml:space="preserve"> охран</w:t>
      </w:r>
      <w:r>
        <w:rPr>
          <w:sz w:val="28"/>
          <w:szCs w:val="28"/>
        </w:rPr>
        <w:t>ой</w:t>
      </w:r>
      <w:r w:rsidRPr="00736195">
        <w:rPr>
          <w:sz w:val="28"/>
          <w:szCs w:val="28"/>
        </w:rPr>
        <w:t xml:space="preserve"> и использовани</w:t>
      </w:r>
      <w:r>
        <w:rPr>
          <w:sz w:val="28"/>
          <w:szCs w:val="28"/>
        </w:rPr>
        <w:t>ем</w:t>
      </w:r>
      <w:r w:rsidRPr="00736195">
        <w:rPr>
          <w:sz w:val="28"/>
          <w:szCs w:val="28"/>
        </w:rPr>
        <w:t xml:space="preserve"> объектов животного мира;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 и </w:t>
      </w:r>
      <w:r w:rsidRPr="00736195">
        <w:rPr>
          <w:sz w:val="28"/>
          <w:szCs w:val="28"/>
        </w:rPr>
        <w:t xml:space="preserve">специалисты отдела государственного надзора </w:t>
      </w:r>
      <w:r>
        <w:rPr>
          <w:sz w:val="28"/>
          <w:szCs w:val="28"/>
        </w:rPr>
        <w:t>за</w:t>
      </w:r>
      <w:r w:rsidRPr="00736195">
        <w:rPr>
          <w:sz w:val="28"/>
          <w:szCs w:val="28"/>
        </w:rPr>
        <w:t xml:space="preserve"> охран</w:t>
      </w:r>
      <w:r>
        <w:rPr>
          <w:sz w:val="28"/>
          <w:szCs w:val="28"/>
        </w:rPr>
        <w:t>ой</w:t>
      </w:r>
      <w:r w:rsidRPr="00736195">
        <w:rPr>
          <w:sz w:val="28"/>
          <w:szCs w:val="28"/>
        </w:rPr>
        <w:t xml:space="preserve"> и использовани</w:t>
      </w:r>
      <w:r>
        <w:rPr>
          <w:sz w:val="28"/>
          <w:szCs w:val="28"/>
        </w:rPr>
        <w:t>ем</w:t>
      </w:r>
      <w:r w:rsidRPr="00736195">
        <w:rPr>
          <w:sz w:val="28"/>
          <w:szCs w:val="28"/>
        </w:rPr>
        <w:t xml:space="preserve"> объектов животного мира: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организуют реализацию Программы;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осуществляют подготовку доклада о ходе реализации Программы;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подготавливают предложения по формированию (уточнению) перечня программных мероприятий на очередной финансовый год, разработке перечня показателей для мониторинга реализации программных мероприятий, проведению мониторинга реализации Программы.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Ответственность за организацию и проведение профилактических мероприятий при осуществлении государственного надзора возлагается на начальника отдела государственного надзора </w:t>
      </w:r>
      <w:r>
        <w:rPr>
          <w:sz w:val="28"/>
          <w:szCs w:val="28"/>
        </w:rPr>
        <w:t>за</w:t>
      </w:r>
      <w:r w:rsidRPr="00736195">
        <w:rPr>
          <w:sz w:val="28"/>
          <w:szCs w:val="28"/>
        </w:rPr>
        <w:t xml:space="preserve"> охран</w:t>
      </w:r>
      <w:r>
        <w:rPr>
          <w:sz w:val="28"/>
          <w:szCs w:val="28"/>
        </w:rPr>
        <w:t>ой</w:t>
      </w:r>
      <w:r w:rsidRPr="00736195">
        <w:rPr>
          <w:sz w:val="28"/>
          <w:szCs w:val="28"/>
        </w:rPr>
        <w:t xml:space="preserve"> и использовани</w:t>
      </w:r>
      <w:r>
        <w:rPr>
          <w:sz w:val="28"/>
          <w:szCs w:val="28"/>
        </w:rPr>
        <w:t>ем</w:t>
      </w:r>
      <w:r w:rsidRPr="00736195">
        <w:rPr>
          <w:sz w:val="28"/>
          <w:szCs w:val="28"/>
        </w:rPr>
        <w:t xml:space="preserve"> объектов животного мира.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</w:p>
    <w:p w:rsidR="00874DE7" w:rsidRPr="00736195" w:rsidRDefault="00874DE7" w:rsidP="00874DE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9"/>
      <w:r w:rsidRPr="00736195">
        <w:rPr>
          <w:rFonts w:ascii="Times New Roman" w:hAnsi="Times New Roman" w:cs="Times New Roman"/>
          <w:color w:val="auto"/>
          <w:sz w:val="28"/>
          <w:szCs w:val="28"/>
        </w:rPr>
        <w:t>3. Цели и задачи реализации программы профилактики</w:t>
      </w:r>
    </w:p>
    <w:bookmarkEnd w:id="5"/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bookmarkStart w:id="6" w:name="sub_10"/>
      <w:r w:rsidRPr="00736195">
        <w:rPr>
          <w:sz w:val="28"/>
          <w:szCs w:val="28"/>
        </w:rPr>
        <w:t>3.1 Цели настоящей Программы и профилактической работы в рамках осуществляемого государственного контроля (надзора) в области охраны, воспроизводства и использования объектов животного мира и среды их обитания являются:</w:t>
      </w:r>
    </w:p>
    <w:bookmarkEnd w:id="6"/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bookmarkStart w:id="7" w:name="sub_11"/>
      <w:r w:rsidRPr="00736195">
        <w:rPr>
          <w:sz w:val="28"/>
          <w:szCs w:val="28"/>
        </w:rPr>
        <w:t>3.2 Проведение профилактических мероприятий в рамках государственного надзора позволит решить следующие задачи:</w:t>
      </w:r>
    </w:p>
    <w:bookmarkEnd w:id="7"/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установление и оценка зависимости видов, форм и интенсивности профилактических мероприятий от особенностей конкретных контролируемых лиц и присвоенного объектам контроля уровня риска (класса опасности), проведение профилактических мероприятий с учетом данных факторов;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в области государственного контроля (надзора) в области охраны, воспроизводства и использования объектов животного мира и среды их обитания;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повышение квалификации кадрового состава Управления;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формирование единого понимания обязательных требований в соответствующей сфере у всех участников контрольной (надзорной) деятельности;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lastRenderedPageBreak/>
        <w:t>-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причинению вреда контролируемыми лицами;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- повышение прозрачности системы контрольно-надзорной деятельности.</w:t>
      </w:r>
    </w:p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12"/>
      <w:r w:rsidRPr="00736195">
        <w:rPr>
          <w:rFonts w:ascii="Times New Roman" w:hAnsi="Times New Roman" w:cs="Times New Roman"/>
          <w:color w:val="auto"/>
          <w:sz w:val="28"/>
          <w:szCs w:val="28"/>
        </w:rPr>
        <w:t>4. Перечень профилактических мероприятий, сроки (периодичность) их проведения</w:t>
      </w:r>
    </w:p>
    <w:bookmarkEnd w:id="8"/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Порядок проведения профилактических мероприятий определяется </w:t>
      </w:r>
      <w:hyperlink r:id="rId10" w:history="1">
        <w:r>
          <w:rPr>
            <w:rStyle w:val="a6"/>
            <w:rFonts w:eastAsiaTheme="minorEastAsia"/>
            <w:color w:val="auto"/>
            <w:sz w:val="28"/>
            <w:szCs w:val="28"/>
          </w:rPr>
          <w:t>п</w:t>
        </w:r>
        <w:r w:rsidRPr="00736195">
          <w:rPr>
            <w:rStyle w:val="a6"/>
            <w:rFonts w:eastAsiaTheme="minorEastAsia"/>
            <w:color w:val="auto"/>
            <w:sz w:val="28"/>
            <w:szCs w:val="28"/>
          </w:rPr>
          <w:t>остановлением</w:t>
        </w:r>
      </w:hyperlink>
      <w:r w:rsidRPr="00736195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736195">
        <w:rPr>
          <w:sz w:val="28"/>
          <w:szCs w:val="28"/>
        </w:rPr>
        <w:t xml:space="preserve"> от 30.06.2021</w:t>
      </w:r>
      <w:r>
        <w:rPr>
          <w:sz w:val="28"/>
          <w:szCs w:val="28"/>
        </w:rPr>
        <w:t xml:space="preserve"> г.</w:t>
      </w:r>
      <w:r w:rsidRPr="0073619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36195">
        <w:rPr>
          <w:sz w:val="28"/>
          <w:szCs w:val="28"/>
        </w:rPr>
        <w:t xml:space="preserve"> 1094 </w:t>
      </w:r>
      <w:r>
        <w:rPr>
          <w:sz w:val="28"/>
          <w:szCs w:val="28"/>
        </w:rPr>
        <w:t>«</w:t>
      </w:r>
      <w:r w:rsidRPr="00736195">
        <w:rPr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>
        <w:rPr>
          <w:sz w:val="28"/>
          <w:szCs w:val="28"/>
        </w:rPr>
        <w:t>»</w:t>
      </w:r>
      <w:r w:rsidRPr="00736195">
        <w:rPr>
          <w:sz w:val="28"/>
          <w:szCs w:val="28"/>
        </w:rPr>
        <w:t>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В рамках осуществления государственного надзора проводятся следующие профилактические мероприятия: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а) информирование;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б) обобщение правоприменительной практики;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в) объявление предостережения;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г) консультирование;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д) профилактический визит.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Профилактические мероприятия проводятся должностными лицами, уполномоченными на осуществление контроля (надзора) в соответствии с требованиями </w:t>
      </w:r>
      <w:hyperlink r:id="rId11" w:history="1">
        <w:r w:rsidRPr="00736195">
          <w:rPr>
            <w:rStyle w:val="a6"/>
            <w:rFonts w:eastAsiaTheme="minorEastAsia"/>
            <w:color w:val="auto"/>
            <w:sz w:val="28"/>
            <w:szCs w:val="28"/>
          </w:rPr>
          <w:t>Федерального закона</w:t>
        </w:r>
      </w:hyperlink>
      <w:r w:rsidRPr="0073619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36195">
        <w:rPr>
          <w:sz w:val="28"/>
          <w:szCs w:val="28"/>
        </w:rPr>
        <w:t> 248-ФЗ.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природных ресурсов и экологии Республики Ингушетия (далее – Министерство)</w:t>
      </w:r>
      <w:r w:rsidRPr="00736195">
        <w:rPr>
          <w:sz w:val="28"/>
          <w:szCs w:val="28"/>
        </w:rPr>
        <w:t xml:space="preserve"> предлагает проведение профилактического визита лицам, приступающим к осуществлению деятельности в области охраны, воспроизводства и использования объектов животного мира и среды их обитания, в течение одного года с момента начала такой деятельности.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736195">
        <w:rPr>
          <w:sz w:val="28"/>
          <w:szCs w:val="28"/>
        </w:rPr>
        <w:t xml:space="preserve">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интернет-сайте </w:t>
      </w:r>
      <w:r>
        <w:rPr>
          <w:sz w:val="28"/>
          <w:szCs w:val="28"/>
        </w:rPr>
        <w:t>Министерства</w:t>
      </w:r>
      <w:r w:rsidRPr="00736195">
        <w:rPr>
          <w:sz w:val="28"/>
          <w:szCs w:val="28"/>
        </w:rPr>
        <w:t>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736195">
        <w:rPr>
          <w:sz w:val="28"/>
          <w:szCs w:val="28"/>
        </w:rPr>
        <w:t xml:space="preserve"> обеспечивает ежегодное обобщение правоприменительной практики осуществления государственного надзора.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По итогам обобщения правоприменительной практики </w:t>
      </w:r>
      <w:r>
        <w:rPr>
          <w:sz w:val="28"/>
          <w:szCs w:val="28"/>
        </w:rPr>
        <w:t>Министерство</w:t>
      </w:r>
      <w:r w:rsidRPr="00736195">
        <w:rPr>
          <w:sz w:val="28"/>
          <w:szCs w:val="28"/>
        </w:rPr>
        <w:t xml:space="preserve"> обеспечивает подготовку доклада, содержащего результаты обобщения правоприменительной практики надзорного органа (далее - доклад о правоприменительной практике) и его публичное обсуждение.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lastRenderedPageBreak/>
        <w:t xml:space="preserve">Доклад о правоприменительной практике утверждается приказом </w:t>
      </w:r>
      <w:r>
        <w:rPr>
          <w:sz w:val="28"/>
          <w:szCs w:val="28"/>
        </w:rPr>
        <w:t>Министерства</w:t>
      </w:r>
      <w:r w:rsidRPr="00736195">
        <w:rPr>
          <w:sz w:val="28"/>
          <w:szCs w:val="28"/>
        </w:rPr>
        <w:t xml:space="preserve"> ежегодно, до 1 апреля года, следующего за отчетным</w:t>
      </w:r>
      <w:r>
        <w:rPr>
          <w:sz w:val="28"/>
          <w:szCs w:val="28"/>
        </w:rPr>
        <w:t xml:space="preserve"> и</w:t>
      </w:r>
      <w:r w:rsidRPr="00736195">
        <w:rPr>
          <w:sz w:val="28"/>
          <w:szCs w:val="28"/>
        </w:rPr>
        <w:t xml:space="preserve"> размещается на официальном интернет-сайте </w:t>
      </w:r>
      <w:r>
        <w:rPr>
          <w:sz w:val="28"/>
          <w:szCs w:val="28"/>
        </w:rPr>
        <w:t>Министерства</w:t>
      </w:r>
      <w:r w:rsidRPr="00736195">
        <w:rPr>
          <w:sz w:val="28"/>
          <w:szCs w:val="28"/>
        </w:rPr>
        <w:t>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В случае наличия у </w:t>
      </w:r>
      <w:r>
        <w:rPr>
          <w:sz w:val="28"/>
          <w:szCs w:val="28"/>
        </w:rPr>
        <w:t>Министерства</w:t>
      </w:r>
      <w:r w:rsidRPr="00736195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sz w:val="28"/>
          <w:szCs w:val="28"/>
        </w:rPr>
        <w:t>Министерство</w:t>
      </w:r>
      <w:r w:rsidRPr="00736195">
        <w:rPr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hyperlink r:id="rId12" w:history="1">
        <w:r w:rsidRPr="00736195">
          <w:rPr>
            <w:rStyle w:val="a6"/>
            <w:rFonts w:eastAsiaTheme="minorEastAsia"/>
            <w:color w:val="auto"/>
            <w:sz w:val="28"/>
            <w:szCs w:val="28"/>
          </w:rPr>
          <w:t>Федеральным законом</w:t>
        </w:r>
      </w:hyperlink>
      <w:r w:rsidRPr="0073619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36195">
        <w:rPr>
          <w:sz w:val="28"/>
          <w:szCs w:val="28"/>
        </w:rPr>
        <w:t> 248-ФЗ.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предостережения, в котором указываются следующие сведения: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гражданина;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идентификационный номер налогоплательщика - юридического лица, индивидуального предпринимателя, гражданина;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дата и номер предостережения;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способ получения ответа.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Возражения направляются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Результат рассмотрения возражения на предостережение направляется контролируемому лицу в течение 20 рабочих дней со дня получения возражения на адрес, указанный в возражении.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Государственные инспектора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государственного надзора). Консультирование осуществляется без взимания платы.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Консультирование осуществляется по следующим вопросам: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lastRenderedPageBreak/>
        <w:t>разъяснение положений нормативных правовых актов, регламентирующих порядок осуществления государственного надзора;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порядок обжалования решений </w:t>
      </w:r>
      <w:r>
        <w:rPr>
          <w:sz w:val="28"/>
          <w:szCs w:val="28"/>
        </w:rPr>
        <w:t>Министерства</w:t>
      </w:r>
      <w:r w:rsidRPr="00736195">
        <w:rPr>
          <w:sz w:val="28"/>
          <w:szCs w:val="28"/>
        </w:rPr>
        <w:t>, действий (бездействия) государственных охотничьих инспекторов.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Время консультирования при личном обращении устанавливается </w:t>
      </w:r>
      <w:r>
        <w:rPr>
          <w:sz w:val="28"/>
          <w:szCs w:val="28"/>
        </w:rPr>
        <w:t>Министром</w:t>
      </w:r>
      <w:r w:rsidRPr="00736195">
        <w:rPr>
          <w:sz w:val="28"/>
          <w:szCs w:val="28"/>
        </w:rPr>
        <w:t xml:space="preserve"> и размещается на официальном интернет-сайте </w:t>
      </w:r>
      <w:r>
        <w:rPr>
          <w:sz w:val="28"/>
          <w:szCs w:val="28"/>
        </w:rPr>
        <w:t>Министерства</w:t>
      </w:r>
      <w:r w:rsidRPr="00736195">
        <w:rPr>
          <w:sz w:val="28"/>
          <w:szCs w:val="28"/>
        </w:rPr>
        <w:t>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Консультирование контролируемых лиц при личном обращении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Контролируемым лицам, желающим получить консультацию по вопросам, связанным с организацией и осуществлением государственного надзора, предоставляется право ее получения в порядке очереди.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Срок ожидания в очереди при личном обращении контролируемых лиц не должен превышать 15 минут.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Государственный инспектор, осуществляющий консультирование, дает ответ по существу каждого поставленного вопроса или устное разъяснение о том, куда и в каком порядке контролируемым лицам следует обратиться.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направляется, за исключением случаев представления письменного ответа на обращение, поданное в соответствии с </w:t>
      </w:r>
      <w:hyperlink r:id="rId13" w:history="1">
        <w:r w:rsidRPr="00736195">
          <w:rPr>
            <w:rStyle w:val="a6"/>
            <w:rFonts w:eastAsiaTheme="minorEastAsia"/>
            <w:color w:val="auto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02.05.2006 г. № 59-ФЗ</w:t>
      </w:r>
      <w:r w:rsidRPr="007361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36195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736195">
        <w:rPr>
          <w:sz w:val="28"/>
          <w:szCs w:val="28"/>
        </w:rPr>
        <w:t>. Учет консультирований осуществляется в порядке, определяемом надзорным органом.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При осуществлении консультирования государственные инспектора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законом </w:t>
      </w:r>
      <w:r>
        <w:rPr>
          <w:sz w:val="28"/>
          <w:szCs w:val="28"/>
        </w:rPr>
        <w:t>№</w:t>
      </w:r>
      <w:r w:rsidRPr="00736195">
        <w:rPr>
          <w:sz w:val="28"/>
          <w:szCs w:val="28"/>
        </w:rPr>
        <w:t> 248-ФЗ.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Профилактический визит проводится государственным инспектором в форме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Профилактический визит проводится в порядке и объеме, определенном </w:t>
      </w:r>
      <w:hyperlink r:id="rId14" w:history="1">
        <w:r w:rsidRPr="00736195">
          <w:rPr>
            <w:rStyle w:val="a6"/>
            <w:rFonts w:eastAsiaTheme="minorEastAsia"/>
            <w:color w:val="auto"/>
            <w:sz w:val="28"/>
            <w:szCs w:val="28"/>
          </w:rPr>
          <w:t>статьей 52</w:t>
        </w:r>
      </w:hyperlink>
      <w:r w:rsidRPr="00736195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736195">
        <w:rPr>
          <w:sz w:val="28"/>
          <w:szCs w:val="28"/>
        </w:rPr>
        <w:t> 248-ФЗ.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 xml:space="preserve">В ходе профилактического визита государственным инспектором может осуществляться консультирование контролируемого лица в порядке, </w:t>
      </w:r>
      <w:r w:rsidRPr="00736195">
        <w:rPr>
          <w:sz w:val="28"/>
          <w:szCs w:val="28"/>
        </w:rPr>
        <w:lastRenderedPageBreak/>
        <w:t xml:space="preserve">установленном </w:t>
      </w:r>
      <w:hyperlink r:id="rId15" w:history="1">
        <w:r w:rsidRPr="00736195">
          <w:rPr>
            <w:rStyle w:val="a6"/>
            <w:rFonts w:eastAsiaTheme="minorEastAsia"/>
            <w:color w:val="auto"/>
            <w:sz w:val="28"/>
            <w:szCs w:val="28"/>
          </w:rPr>
          <w:t>пунктом 16</w:t>
        </w:r>
      </w:hyperlink>
      <w:r w:rsidRPr="00736195">
        <w:rPr>
          <w:sz w:val="28"/>
          <w:szCs w:val="28"/>
        </w:rPr>
        <w:t xml:space="preserve"> Положения, а также </w:t>
      </w:r>
      <w:hyperlink r:id="rId16" w:history="1">
        <w:r w:rsidRPr="00736195">
          <w:rPr>
            <w:rStyle w:val="a6"/>
            <w:rFonts w:eastAsiaTheme="minorEastAsia"/>
            <w:color w:val="auto"/>
            <w:sz w:val="28"/>
            <w:szCs w:val="28"/>
          </w:rPr>
          <w:t>статьей 50</w:t>
        </w:r>
      </w:hyperlink>
      <w:r w:rsidRPr="00736195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736195">
        <w:rPr>
          <w:sz w:val="28"/>
          <w:szCs w:val="28"/>
        </w:rPr>
        <w:t> 248-ФЗ.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Обязательные профилактические визиты проводятся в отношении контролируемых лиц, приступающих к осуществлению деятельности в области охраны, воспроизводства и использования объектов животного мира и среды их обитания, а также в отношении объектов контроля, отнесенных к категориям риска - чрезвычайно высокий и значительный.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736195">
        <w:rPr>
          <w:sz w:val="28"/>
          <w:szCs w:val="28"/>
        </w:rPr>
        <w:t xml:space="preserve"> обязано предложить проведение профилактического визита лицам, приступающим к осуществлению деятельности в области охраны, воспроизводства и использования объектов животного мира и среды их обитания, не позднее 1 года со дня начала такой деятельности.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О проведении обязательного профилактического визита контролируемое лицо должно быть уведомлено не позднее чем за 5 рабочих дней до даты его проведения.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3 рабочих дня до даты его проведения.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Срок проведения профилактического визита (обязательного профилактического визита) не может превышать 1 рабочий день.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Профилактический визит (обязательный профилактический визит) проводится не менее чем за 20 рабочих дней до начала проведения плановой и внеплановой проверки.</w:t>
      </w:r>
    </w:p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sub_13"/>
      <w:r w:rsidRPr="00736195">
        <w:rPr>
          <w:rFonts w:ascii="Times New Roman" w:hAnsi="Times New Roman" w:cs="Times New Roman"/>
          <w:color w:val="auto"/>
          <w:sz w:val="28"/>
          <w:szCs w:val="28"/>
        </w:rPr>
        <w:t>Перечень профилактически мероприятий, сроки (периодичность) их проведения</w:t>
      </w:r>
    </w:p>
    <w:bookmarkEnd w:id="9"/>
    <w:p w:rsidR="00874DE7" w:rsidRPr="00736195" w:rsidRDefault="00874DE7" w:rsidP="00874DE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742"/>
        <w:gridCol w:w="2693"/>
        <w:gridCol w:w="2673"/>
        <w:gridCol w:w="14"/>
      </w:tblGrid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Формы и виды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Периодичность проведения, сроки выполнения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проведения мероприятий</w:t>
            </w:r>
          </w:p>
        </w:tc>
      </w:tr>
      <w:tr w:rsidR="00874DE7" w:rsidRPr="00736195" w:rsidTr="009F7FF7">
        <w:tc>
          <w:tcPr>
            <w:tcW w:w="9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посредством размещения и поддержания в актуальном состоянии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, в средствах массовой информации, через личные кабинеты контролируемых лиц в государственных информационных системах (при их наличии) сведений: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контролируемых лиц о действующих обязательных требованиях</w:t>
            </w: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- тексты нормативных 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актов, регулирующих осуществление государственного контроля (надзора), муниципального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- сведения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 мере принятия или внесения изменений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 мере принятия или внесения изменений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- руководства по соблюдению обязательных требований, разработанные и утвержденные в соответствии с </w:t>
            </w:r>
            <w:hyperlink r:id="rId17" w:history="1">
              <w:r w:rsidRPr="00736195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 от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 2020 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 247-ФЗ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Об обязательных требованиях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- 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В течение 5 дней со дня утверждения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программу профилактики 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5 дней со 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утверждения (утверждение не позднее 20 декабря предшествующего года)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- 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 мере принятия или внесения изменений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- 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 мере принятия или внесения изменений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- доклады, содержащие результаты обобщения правоприменительной практики контрольного (надзорного) органа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До 5 рабочих дней со дня утверждения (утверждение доклада не позднее 01 апреля года, следующего за отчетным)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- доклады о государственном контроле (надзоре)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До 15 марта, следующего за отчетным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E7" w:rsidRPr="00736195" w:rsidTr="009F7FF7">
        <w:tc>
          <w:tcPr>
            <w:tcW w:w="9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практики осуществления государственного надзора и размещение на официальном интернет-сайте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Подготовка доклада не позднее 1 апреля года, следующего за отчетным (размещение в срок до 5 рабочих дней со дня утверждения доклада)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Предотвращение нарушения обязательных требований</w:t>
            </w: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по обсуждению результатов правоприменительной практики при осуществлении государственного надзора, в том числе в межведомственном формате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контролируемых лиц о действующих обязательных требованиях</w:t>
            </w:r>
          </w:p>
        </w:tc>
      </w:tr>
      <w:tr w:rsidR="00874DE7" w:rsidRPr="00736195" w:rsidTr="009F7FF7">
        <w:tc>
          <w:tcPr>
            <w:tcW w:w="9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предостережения о недопустимости нарушения обязательных 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</w:t>
            </w: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предостережений о недопустимости нарушения обязательных требований в соответствии с Правилами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утвержденными </w:t>
            </w:r>
            <w:hyperlink r:id="rId18" w:history="1">
              <w:r w:rsidRPr="00736195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постановлением</w:t>
              </w:r>
            </w:hyperlink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2017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 166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(при наличии оснований, предусмотренных </w:t>
            </w:r>
            <w:hyperlink r:id="rId19" w:history="1">
              <w:r w:rsidRPr="00736195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п. 15</w:t>
              </w:r>
            </w:hyperlink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Стимулирование добросовестного исполнения обязательных требований</w:t>
            </w:r>
          </w:p>
        </w:tc>
      </w:tr>
      <w:tr w:rsidR="00874DE7" w:rsidRPr="00736195" w:rsidTr="009F7FF7">
        <w:tc>
          <w:tcPr>
            <w:tcW w:w="9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видеоконференцсвязи в соответствии со </w:t>
            </w:r>
            <w:hyperlink r:id="rId20" w:history="1">
              <w:r w:rsidRPr="00736195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статьей 52</w:t>
              </w:r>
            </w:hyperlink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 248-ФЗ.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(при наличии оснований, предусмотренных </w:t>
            </w:r>
            <w:hyperlink r:id="rId21" w:history="1">
              <w:r w:rsidRPr="00736195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п. 17</w:t>
              </w:r>
            </w:hyperlink>
            <w:r w:rsidRPr="00736195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контролируемых лиц о действующих обязательных требованиях</w:t>
            </w:r>
          </w:p>
        </w:tc>
      </w:tr>
      <w:tr w:rsidR="00874DE7" w:rsidRPr="00736195" w:rsidTr="009F7FF7">
        <w:tc>
          <w:tcPr>
            <w:tcW w:w="9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874DE7" w:rsidRPr="00736195" w:rsidTr="009F7FF7">
        <w:trPr>
          <w:gridAfter w:val="1"/>
          <w:wAfter w:w="14" w:type="dxa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Осуществление консультирования (дачи разъяснений) по следующим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E7" w:rsidRPr="00736195" w:rsidRDefault="00874DE7" w:rsidP="009F7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 контролируемых лиц и их представителей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E7" w:rsidRPr="00736195" w:rsidRDefault="00874DE7" w:rsidP="009F7F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36195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контролируемых лиц о действующих обязательных требованиях</w:t>
            </w:r>
          </w:p>
        </w:tc>
      </w:tr>
    </w:tbl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4"/>
      <w:r w:rsidRPr="00736195">
        <w:rPr>
          <w:rFonts w:ascii="Times New Roman" w:hAnsi="Times New Roman" w:cs="Times New Roman"/>
          <w:color w:val="auto"/>
          <w:sz w:val="28"/>
          <w:szCs w:val="28"/>
        </w:rPr>
        <w:lastRenderedPageBreak/>
        <w:t>5. Показатели результативности и эффективности программы профилактики</w:t>
      </w:r>
    </w:p>
    <w:bookmarkEnd w:id="10"/>
    <w:p w:rsidR="00874DE7" w:rsidRPr="00736195" w:rsidRDefault="00874DE7" w:rsidP="00874DE7">
      <w:pPr>
        <w:rPr>
          <w:sz w:val="28"/>
          <w:szCs w:val="28"/>
        </w:rPr>
      </w:pP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Оценка эффективности Программы осуществляется по итогам соответствующего года ее реализации.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Результатом, ожидаемым от реализации Программы, является увеличение доли законопослушных подконтрольных субъектов, повышение прозрачности деятельности</w:t>
      </w:r>
      <w:r>
        <w:rPr>
          <w:sz w:val="28"/>
          <w:szCs w:val="28"/>
        </w:rPr>
        <w:t xml:space="preserve"> Министерства</w:t>
      </w:r>
      <w:r w:rsidRPr="00736195">
        <w:rPr>
          <w:sz w:val="28"/>
          <w:szCs w:val="28"/>
        </w:rPr>
        <w:t>, уменьшение административной нагрузки на подконтрольные субъекты, повышение уровня правовой грамотности подконтрольных субъектов, обеспечение единообразия понимания предмета контроля подконтрольными субъектами, мотивация подконтрольных субъектов к добросовестному поведению.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Профилактическое воздействие осуществляется путем информирования юридических лиц, индивидуальных предпринимателей и граждан по вопросам соблюдения обязательных требований законодательства.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r w:rsidRPr="00736195">
        <w:rPr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в области охраны, воспроизводства и использования объектов животного мира и среды их обитания: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bookmarkStart w:id="11" w:name="sub_15"/>
      <w:r w:rsidRPr="00736195">
        <w:rPr>
          <w:sz w:val="28"/>
          <w:szCs w:val="28"/>
        </w:rPr>
        <w:t>1) минимизация ресурсных затрат всех участников контрольно-надзорной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bookmarkStart w:id="12" w:name="sub_16"/>
      <w:bookmarkEnd w:id="11"/>
      <w:r w:rsidRPr="00736195">
        <w:rPr>
          <w:sz w:val="28"/>
          <w:szCs w:val="28"/>
        </w:rPr>
        <w:t>2) снижение количества зафиксированных нарушений обязательных требований;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bookmarkStart w:id="13" w:name="sub_17"/>
      <w:bookmarkEnd w:id="12"/>
      <w:r w:rsidRPr="00736195">
        <w:rPr>
          <w:sz w:val="28"/>
          <w:szCs w:val="28"/>
        </w:rPr>
        <w:t xml:space="preserve">3) увеличение числа подконтрольных субъектов, вовлеченных в регулярное взаимодействие с </w:t>
      </w:r>
      <w:r>
        <w:rPr>
          <w:sz w:val="28"/>
          <w:szCs w:val="28"/>
        </w:rPr>
        <w:t>Министерством</w:t>
      </w:r>
      <w:r w:rsidRPr="00736195">
        <w:rPr>
          <w:sz w:val="28"/>
          <w:szCs w:val="28"/>
        </w:rPr>
        <w:t xml:space="preserve"> (за исключением взаимодействия по вопросам несоблюдения подконтрольными субъектами обязательных требований);</w:t>
      </w:r>
    </w:p>
    <w:p w:rsidR="00874DE7" w:rsidRPr="00736195" w:rsidRDefault="00874DE7" w:rsidP="00874DE7">
      <w:pPr>
        <w:ind w:firstLine="426"/>
        <w:jc w:val="both"/>
        <w:rPr>
          <w:sz w:val="28"/>
          <w:szCs w:val="28"/>
        </w:rPr>
      </w:pPr>
      <w:bookmarkStart w:id="14" w:name="sub_18"/>
      <w:bookmarkEnd w:id="13"/>
      <w:r w:rsidRPr="00736195">
        <w:rPr>
          <w:sz w:val="28"/>
          <w:szCs w:val="28"/>
        </w:rPr>
        <w:t xml:space="preserve">4) повышение уровня доверия подконтрольных субъектов к </w:t>
      </w:r>
      <w:r>
        <w:rPr>
          <w:sz w:val="28"/>
          <w:szCs w:val="28"/>
        </w:rPr>
        <w:t>Министерству</w:t>
      </w:r>
      <w:r w:rsidRPr="00736195">
        <w:rPr>
          <w:sz w:val="28"/>
          <w:szCs w:val="28"/>
        </w:rPr>
        <w:t>.</w:t>
      </w:r>
    </w:p>
    <w:bookmarkEnd w:id="14"/>
    <w:p w:rsidR="00BE0F1C" w:rsidRPr="00736195" w:rsidRDefault="00BE0F1C" w:rsidP="00BE0F1C">
      <w:pPr>
        <w:jc w:val="both"/>
        <w:rPr>
          <w:sz w:val="28"/>
          <w:szCs w:val="28"/>
        </w:rPr>
      </w:pPr>
    </w:p>
    <w:p w:rsidR="00FA626B" w:rsidRDefault="00FA626B" w:rsidP="00BE0F1C">
      <w:pPr>
        <w:pStyle w:val="a3"/>
        <w:jc w:val="right"/>
        <w:rPr>
          <w:sz w:val="16"/>
          <w:szCs w:val="16"/>
        </w:rPr>
      </w:pPr>
    </w:p>
    <w:sectPr w:rsidR="00FA626B" w:rsidSect="0050498F">
      <w:pgSz w:w="11906" w:h="16838"/>
      <w:pgMar w:top="113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A69F2"/>
    <w:multiLevelType w:val="hybridMultilevel"/>
    <w:tmpl w:val="E9B66772"/>
    <w:lvl w:ilvl="0" w:tplc="1708EA3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62"/>
    <w:rsid w:val="00201CC2"/>
    <w:rsid w:val="00231CD3"/>
    <w:rsid w:val="0032202A"/>
    <w:rsid w:val="0043598C"/>
    <w:rsid w:val="00484E8F"/>
    <w:rsid w:val="004A2225"/>
    <w:rsid w:val="004C689F"/>
    <w:rsid w:val="005A6B04"/>
    <w:rsid w:val="00650B59"/>
    <w:rsid w:val="00686CDF"/>
    <w:rsid w:val="006C5847"/>
    <w:rsid w:val="007E74B4"/>
    <w:rsid w:val="008307F9"/>
    <w:rsid w:val="008443F4"/>
    <w:rsid w:val="00874DE7"/>
    <w:rsid w:val="00891760"/>
    <w:rsid w:val="00992E27"/>
    <w:rsid w:val="009A3E63"/>
    <w:rsid w:val="00A24681"/>
    <w:rsid w:val="00BE0F1C"/>
    <w:rsid w:val="00C55E2C"/>
    <w:rsid w:val="00C872FE"/>
    <w:rsid w:val="00C95D62"/>
    <w:rsid w:val="00D664F9"/>
    <w:rsid w:val="00DA5F2A"/>
    <w:rsid w:val="00DB7CAE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86DB"/>
  <w15:docId w15:val="{CA29E62F-5BCE-4C69-AA2A-D269DD65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F1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3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0F1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BE0F1C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BE0F1C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E0F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8">
    <w:name w:val="Прижатый влево"/>
    <w:basedOn w:val="a"/>
    <w:next w:val="a"/>
    <w:uiPriority w:val="99"/>
    <w:rsid w:val="00BE0F1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1432056/0" TargetMode="External"/><Relationship Id="rId13" Type="http://schemas.openxmlformats.org/officeDocument/2006/relationships/hyperlink" Target="http://internet.garant.ru/document/redirect/12146661/0" TargetMode="External"/><Relationship Id="rId18" Type="http://schemas.openxmlformats.org/officeDocument/2006/relationships/hyperlink" Target="http://internet.garant.ru/document/redirect/71609366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401432056/1017" TargetMode="External"/><Relationship Id="rId7" Type="http://schemas.openxmlformats.org/officeDocument/2006/relationships/hyperlink" Target="http://internet.garant.ru/document/redirect/74449814/0" TargetMode="External"/><Relationship Id="rId12" Type="http://schemas.openxmlformats.org/officeDocument/2006/relationships/hyperlink" Target="http://internet.garant.ru/document/redirect/74449814/0" TargetMode="External"/><Relationship Id="rId17" Type="http://schemas.openxmlformats.org/officeDocument/2006/relationships/hyperlink" Target="http://internet.garant.ru/document/redirect/74449388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4449814/50" TargetMode="External"/><Relationship Id="rId20" Type="http://schemas.openxmlformats.org/officeDocument/2006/relationships/hyperlink" Target="http://internet.garant.ru/document/redirect/74449814/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01399931/0" TargetMode="External"/><Relationship Id="rId11" Type="http://schemas.openxmlformats.org/officeDocument/2006/relationships/hyperlink" Target="http://internet.garant.ru/document/redirect/74449814/0" TargetMode="External"/><Relationship Id="rId5" Type="http://schemas.openxmlformats.org/officeDocument/2006/relationships/hyperlink" Target="http://internet.garant.ru/document/redirect/401399931/1000" TargetMode="External"/><Relationship Id="rId15" Type="http://schemas.openxmlformats.org/officeDocument/2006/relationships/hyperlink" Target="http://internet.garant.ru/document/redirect/401432056/10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401432056/0" TargetMode="External"/><Relationship Id="rId19" Type="http://schemas.openxmlformats.org/officeDocument/2006/relationships/hyperlink" Target="http://internet.garant.ru/document/redirect/401432056/1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01432056/0" TargetMode="External"/><Relationship Id="rId14" Type="http://schemas.openxmlformats.org/officeDocument/2006/relationships/hyperlink" Target="http://internet.garant.ru/document/redirect/74449814/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Минприроды</cp:lastModifiedBy>
  <cp:revision>3</cp:revision>
  <cp:lastPrinted>2022-02-10T13:59:00Z</cp:lastPrinted>
  <dcterms:created xsi:type="dcterms:W3CDTF">2024-12-19T13:03:00Z</dcterms:created>
  <dcterms:modified xsi:type="dcterms:W3CDTF">2024-12-23T07:55:00Z</dcterms:modified>
</cp:coreProperties>
</file>